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4C4C4C"/>
          <w:spacing w:val="0"/>
          <w:sz w:val="25"/>
          <w:szCs w:val="25"/>
          <w:bdr w:val="none" w:color="auto" w:sz="0" w:space="0"/>
          <w:shd w:val="clear" w:fill="FFFFFF"/>
        </w:rPr>
        <w:t>招聘岗位、计划及要求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4C4C4C"/>
          <w:spacing w:val="0"/>
          <w:sz w:val="25"/>
          <w:szCs w:val="25"/>
          <w:bdr w:val="none" w:color="auto" w:sz="0" w:space="0"/>
          <w:shd w:val="clear" w:fill="FFFFFF"/>
        </w:rPr>
        <w:t>面向社会公开招聘教育高层次人才3名，招聘的具体岗位条件、要求如下：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28"/>
        <w:gridCol w:w="636"/>
        <w:gridCol w:w="512"/>
        <w:gridCol w:w="520"/>
        <w:gridCol w:w="828"/>
        <w:gridCol w:w="3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招聘岗位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计划数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专业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学历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职称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年龄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            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教师岗位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  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 不限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中小学高级及以上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45岁以下（1974年1月1日以后出生）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8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1.具有相应级别的基础教育教师资格证；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8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2.具有相应的普通话等级证（语文学科二甲及以上，其他学科二乙及以上）；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3.具有5年以上（含5年）基础教育教学经验，且目前仍在基础教育教学岗位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    4.市级及以上教育行政部门发文认定的学科带头人。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4CE5"/>
    <w:rsid w:val="72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国超科技</dc:creator>
  <cp:lastModifiedBy>国超科技</cp:lastModifiedBy>
  <dcterms:modified xsi:type="dcterms:W3CDTF">2019-12-12T01:59:01Z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